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89.png" ContentType="image/png"/>
  <Override PartName="/word/media/rId88.png" ContentType="image/png"/>
  <Override PartName="/word/media/rId85.png" ContentType="image/png"/>
  <Override PartName="/word/media/rId84.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28</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22.39 - 50.73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29"/>
    <w:bookmarkEnd w:id="30"/>
    <w:bookmarkStart w:id="40"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1"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1"/>
    <w:bookmarkStart w:id="32" w:name="gastric-lavage-2"/>
    <w:p>
      <w:pPr>
        <w:pStyle w:val="Heading2"/>
      </w:pPr>
      <w:r>
        <w:t xml:space="preserve">Gastric Lavage</w:t>
      </w:r>
    </w:p>
    <w:p>
      <w:pPr>
        <w:pStyle w:val="FirstParagraph"/>
      </w:pPr>
      <w:r>
        <w:t xml:space="preserve">The majority of fish caught during the study received gastric lavage. To evaluate the efficacy of the method, we euthanized nine Northern Pikeminnow after gastric lavage was completed and removed the remaining stomach contents via dissection. In each case, no additional stomach contents were identified, suggesting that gastric lavage was effective in removing stomach contents, although our sample size was low. However, in total, we only identified fish or fish parts in 44 (2.8%) of the 1,564 Northern Pikeminnow examined using gastric lavage. Aside from juvenile Chinook Salmon, identified species included Redshine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however, decomposition from digestion rendered most stomach contents unidentifiable.</w:t>
      </w:r>
    </w:p>
    <w:p>
      <w:pPr>
        <w:pStyle w:val="BodyText"/>
      </w:pPr>
      <w:r>
        <w:t xml:space="preserve">Although we only identified fish or fish parts within 2.8% of Northern Pikeminnow examined and that fish remnants were only 11.7% of the overall stomach contents, we believe those numbers to be misleading.</w:t>
      </w:r>
    </w:p>
    <w:bookmarkEnd w:id="32"/>
    <w:bookmarkStart w:id="33" w:name="bioenergetics-2"/>
    <w:p>
      <w:pPr>
        <w:pStyle w:val="Heading2"/>
      </w:pPr>
      <w:r>
        <w:t xml:space="preserve">Bioenergetics</w:t>
      </w:r>
    </w:p>
    <w:p>
      <w:pPr>
        <w:pStyle w:val="FirstParagraph"/>
      </w:pPr>
      <w:r>
        <w:t xml:space="preserve">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w:t>
      </w:r>
    </w:p>
    <w:p>
      <w:pPr>
        <w:pStyle w:val="BodyText"/>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This translates to adult Chinook equivalents between 571 and 1,269 (Figure</w:t>
      </w:r>
      <w:r>
        <w:t xml:space="preserve"> </w:t>
      </w:r>
      <w:r>
        <w:t xml:space="preserve">6</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p>
      <w:pPr>
        <w:pStyle w:val="BodyText"/>
      </w:pPr>
      <w:r>
        <w:t xml:space="preserve">projections for the lower Columbia River (Beamesderfer et al. 1996) where substantial Northern Pikeminnow predation impacts on salmonids have led to bounty programs aimed at reducing Northern Pikeminnow abundance.</w:t>
      </w:r>
    </w:p>
    <w:bookmarkEnd w:id="38"/>
    <w:bookmarkStart w:id="39" w:name="conclusions"/>
    <w:p>
      <w:pPr>
        <w:pStyle w:val="Heading2"/>
      </w:pPr>
      <w:r>
        <w:t xml:space="preserve">Conclusions</w:t>
      </w:r>
    </w:p>
    <w:p>
      <w:pPr>
        <w:numPr>
          <w:ilvl w:val="0"/>
          <w:numId w:val="1003"/>
        </w:numPr>
        <w:pStyle w:val="Compact"/>
      </w:pPr>
      <w:r>
        <w:t xml:space="preserve">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the Bureau of Reclamation, Idaho Office of Species Conservation, Idaho Deparment of Fish and Game, and the Lemhi Regional Land Trust, among others. Special thanks to Chelsea Welke, Tulley Mackey, Jared Barker, and Brian Hamilton for their help in the field. Special thanks to Caitlin Alcott and Inter-Fluve for their administrative support and guidance. Funding for this study was provided by the Bureau of Reclamation, Pacific Northwest Regional Office (contract No. 140R1021F0018) with assistance from the Idaho Office of Species Conservation.</w:t>
      </w:r>
    </w:p>
    <w:p>
      <w:r>
        <w:br w:type="page"/>
      </w:r>
    </w:p>
    <w:bookmarkEnd w:id="41"/>
    <w:bookmarkStart w:id="80" w:name="literature-cited"/>
    <w:p>
      <w:pPr>
        <w:pStyle w:val="Heading1"/>
      </w:pPr>
      <w:r>
        <w:t xml:space="preserve">Literature Cited</w:t>
      </w:r>
    </w:p>
    <w:bookmarkStart w:id="79"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4"/>
    <w:bookmarkStart w:id="45"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5"/>
    <w:bookmarkStart w:id="46"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8"/>
    <w:bookmarkStart w:id="49"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9"/>
    <w:bookmarkStart w:id="50"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50"/>
    <w:bookmarkStart w:id="51"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2"/>
    <w:bookmarkStart w:id="53"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3"/>
    <w:bookmarkStart w:id="54"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4"/>
    <w:bookmarkStart w:id="55"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5"/>
    <w:bookmarkStart w:id="56"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6"/>
    <w:bookmarkStart w:id="5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7"/>
    <w:bookmarkStart w:id="58"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8"/>
    <w:bookmarkStart w:id="59"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9"/>
    <w:bookmarkStart w:id="60"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0"/>
    <w:bookmarkStart w:id="61"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1"/>
    <w:bookmarkStart w:id="62"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2"/>
    <w:bookmarkStart w:id="63"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3"/>
    <w:bookmarkStart w:id="64"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4"/>
    <w:bookmarkStart w:id="65"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5"/>
    <w:bookmarkStart w:id="66"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6"/>
    <w:bookmarkStart w:id="67"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7"/>
    <w:bookmarkStart w:id="68"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8"/>
    <w:bookmarkStart w:id="69"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9"/>
    <w:bookmarkStart w:id="70"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0"/>
    <w:bookmarkStart w:id="71"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1"/>
    <w:bookmarkStart w:id="72"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2"/>
    <w:bookmarkStart w:id="73"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3"/>
    <w:bookmarkStart w:id="74"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4"/>
    <w:bookmarkStart w:id="75"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5"/>
    <w:bookmarkStart w:id="76"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6"/>
    <w:bookmarkStart w:id="7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7"/>
    <w:bookmarkStart w:id="7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8"/>
    <w:bookmarkEnd w:id="79"/>
    <w:p>
      <w:r>
        <w:br w:type="page"/>
      </w:r>
    </w:p>
    <w:bookmarkEnd w:id="80"/>
    <w:bookmarkStart w:id="82" w:name="tables"/>
    <w:p>
      <w:pPr>
        <w:pStyle w:val="Heading1"/>
      </w:pPr>
      <w:r>
        <w:t xml:space="preserve">Tables</w:t>
      </w:r>
    </w:p>
    <w:bookmarkStart w:id="81" w:name="tables"/>
    <w:bookmarkEnd w:id="81"/>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2"/>
    <w:bookmarkStart w:id="91" w:name="figures"/>
    <w:p>
      <w:pPr>
        <w:pStyle w:val="Heading1"/>
      </w:pPr>
      <w:r>
        <w:t xml:space="preserve">Figures</w:t>
      </w:r>
    </w:p>
    <w:bookmarkStart w:id="83" w:name="figures"/>
    <w:bookmarkEnd w:id="83"/>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4"/>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0" w:name="colophon"/>
    <w:p>
      <w:pPr>
        <w:pStyle w:val="Heading3"/>
      </w:pPr>
      <w:r>
        <w:t xml:space="preserve">Colophon</w:t>
      </w:r>
    </w:p>
    <w:p>
      <w:pPr>
        <w:pStyle w:val="FirstParagraph"/>
      </w:pPr>
      <w:r>
        <w:t xml:space="preserve">This report was generated on 2021-12-28 11:49:08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2021-12-28</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[503a0eb] 2021-12-28: start Discussion edits</w:t>
      </w:r>
    </w:p>
    <w:bookmarkEnd w:id="90"/>
    <w:bookmarkEnd w:id="9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2021-12-28T18:49:11Z</dcterms:created>
  <dcterms:modified xsi:type="dcterms:W3CDTF">2021-12-28T18:49:11Z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28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